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5-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81</w:t>
      </w:r>
      <w:r>
        <w:rPr>
          <w:rFonts w:ascii="Times New Roman" w:eastAsia="Times New Roman" w:hAnsi="Times New Roman" w:cs="Times New Roman"/>
          <w:sz w:val="27"/>
          <w:szCs w:val="27"/>
        </w:rPr>
        <w:t>-2603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29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Таркова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Василия Павловича</w:t>
      </w:r>
      <w:r>
        <w:rPr>
          <w:rFonts w:ascii="Times New Roman" w:eastAsia="Times New Roman" w:hAnsi="Times New Roman" w:cs="Times New Roman"/>
          <w:sz w:val="27"/>
          <w:szCs w:val="27"/>
        </w:rPr>
        <w:t>, родивше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проживающе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являюще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 </w:t>
      </w:r>
      <w:r>
        <w:rPr>
          <w:rStyle w:val="cat-UserDefinedgrp-35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сведениям информационных ресурсов Инспекции, а также журналу регистрации входящей почтовой 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налогоплательщика </w:t>
      </w:r>
      <w:r>
        <w:rPr>
          <w:rStyle w:val="cat-UserDefinedgrp-36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месяцев 2023 года – не позднее 25.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года, в результате чего 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4 п.1 ст. 23, п. 7 ст. 431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Таркова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В.П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0784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от 2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.03.2024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выписки из Единого государственного реестра юридических лиц; справкой об отсутствии декларации к установленному сроку от 26.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.2023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10.01.2024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11.01</w:t>
      </w:r>
      <w:r>
        <w:rPr>
          <w:rFonts w:ascii="Times New Roman" w:eastAsia="Times New Roman" w:hAnsi="Times New Roman" w:cs="Times New Roman"/>
          <w:sz w:val="27"/>
          <w:szCs w:val="27"/>
        </w:rPr>
        <w:t>.2024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09.02.2024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.02.2024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Таркова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полностью доказанной. Его </w:t>
      </w: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16.08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Таркову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В.П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уководствуясь ч.1 ст. 29.10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>, мировой судья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Таркова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Василия Павловича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300 (трехсот)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3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0412365400585008812415145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101.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1305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4813-28F4-4E1F-8EDC-6D98665D6B1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